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2021 году (за отчетный 2020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Данные Методические рекомендации разработаны с целью разъя</w:t>
      </w:r>
      <w:bookmarkStart w:id="0" w:name="_GoBack"/>
      <w:bookmarkEnd w:id="0"/>
      <w:r>
        <w:rPr>
          <w:rFonts w:ascii="Times New Roman" w:hAnsi="Times New Roman"/>
          <w:sz w:val="28"/>
          <w:szCs w:val="28"/>
        </w:rPr>
        <w:t xml:space="preserve">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2021 году </w:t>
              <w:br/>
              <w:t>(за отчетный 2020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2020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2021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2021 года</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2021 года </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000" w:noVBand="0" w:noHBand="0" w:lastColumn="0" w:firstColumn="0" w:lastRow="0" w:firstRow="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CellMar>
          <w:top w:w="0" w:type="dxa"/>
          <w:left w:w="108" w:type="dxa"/>
          <w:bottom w:w="0" w:type="dxa"/>
          <w:right w:w="108" w:type="dxa"/>
        </w:tblCellMar>
        <w:tblLook w:val="04a0" w:noVBand="1" w:noHBand="0" w:lastColumn="0" w:firstColumn="1" w:lastRow="0" w:firstRow="1"/>
      </w:tblPr>
      <w:tblGrid>
        <w:gridCol w:w="3222"/>
        <w:gridCol w:w="7125"/>
      </w:tblGrid>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222"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Style w:val="Style23"/>
            <w:rFonts w:ascii="Times New Roman" w:hAnsi="Times New Roman"/>
            <w:sz w:val="28"/>
            <w:szCs w:val="28"/>
          </w:rPr>
          <w:t>http://www.kremlin.ru/structure/additional/12</w:t>
        </w:r>
      </w:hyperlink>
      <w:r>
        <w:rPr>
          <w:rStyle w:val="Style23"/>
          <w:rFonts w:ascii="Times New Roman" w:hAnsi="Times New Roman"/>
          <w:sz w:val="28"/>
          <w:szCs w:val="28"/>
        </w:rPr>
        <w:t>), ссылка на который</w:t>
      </w:r>
      <w:r>
        <w:rPr>
          <w:rFonts w:ascii="Times New Roman" w:hAnsi="Times New Roman"/>
          <w:sz w:val="28"/>
          <w:szCs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Style w:val="Style23"/>
            <w:rFonts w:ascii="Times New Roman" w:hAnsi="Times New Roman"/>
            <w:sz w:val="28"/>
            <w:szCs w:val="28"/>
          </w:rPr>
          <w:t>https://gossluzhba.gov.ru/anticorruption/spravki_bk</w:t>
        </w:r>
      </w:hyperlink>
      <w:r>
        <w:rPr>
          <w:rStyle w:val="Style23"/>
          <w:rFonts w:ascii="Times New Roman" w:hAnsi="Times New Roman"/>
          <w:sz w:val="28"/>
          <w:szCs w:val="28"/>
        </w:rPr>
        <w:t>)</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Style23"/>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подлежат отражению в строке "Иные доходы", например, следующие выплаты:</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Дополнительный "налоговый капитал" ("бонус") в размере одного МРОТ (12 130 руб.),</w:t>
      </w:r>
      <w:r>
        <w:rPr>
          <w:rFonts w:eastAsia="Times New Roman"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67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9"/>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9"/>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9"/>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Style23"/>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Style23"/>
            <w:rFonts w:ascii="Times New Roman" w:hAnsi="Times New Roman"/>
            <w:sz w:val="28"/>
            <w:szCs w:val="28"/>
          </w:rPr>
          <w:t>https://www.cbr.ru/currency_base/</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Pr>
          <w:rStyle w:val="Style16"/>
          <w:rFonts w:cs="Times New Roman"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9" w:type="dxa"/>
        <w:tblCellMar>
          <w:top w:w="0" w:type="dxa"/>
          <w:left w:w="108" w:type="dxa"/>
          <w:bottom w:w="0" w:type="dxa"/>
          <w:right w:w="108" w:type="dxa"/>
        </w:tblCellMar>
        <w:tblLook w:val="04a0" w:noVBand="1" w:noHBand="0" w:lastColumn="0" w:firstColumn="1" w:lastRow="0" w:firstRow="1"/>
      </w:tblPr>
      <w:tblGrid>
        <w:gridCol w:w="2126"/>
        <w:gridCol w:w="8221"/>
      </w:tblGrid>
      <w:tr>
        <w:trPr/>
        <w:tc>
          <w:tcPr>
            <w:tcW w:w="2126"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8221"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8221"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7">
        <w:r>
          <w:rPr>
            <w:rStyle w:val="Style23"/>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Style w:val="Style23"/>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ListParagraph"/>
        <w:widowControl w:val="false"/>
        <w:numPr>
          <w:ilvl w:val="0"/>
          <w:numId w:val="1"/>
        </w:numPr>
        <w:ind w:left="0" w:firstLine="567"/>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3"/>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14)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pPr>
        <w:pStyle w:val="ListParagraph"/>
        <w:widowControl w:val="false"/>
        <w:ind w:left="567" w:hanging="0"/>
        <w:rPr>
          <w:rStyle w:val="Style16"/>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pPr>
        <w:pStyle w:val="ListParagraph"/>
        <w:widowControl w:val="false"/>
        <w:ind w:left="567" w:hanging="0"/>
        <w:rPr>
          <w:rStyle w:val="Style16"/>
          <w:rFonts w:ascii="Times New Roman" w:hAnsi="Times New Roman" w:cs="Times New Roman"/>
          <w:b/>
          <w:b/>
          <w:sz w:val="28"/>
          <w:szCs w:val="28"/>
        </w:rPr>
      </w:pPr>
      <w:r>
        <w:rPr>
          <w:rFonts w:cs="Times New Roman" w:ascii="Times New Roman" w:hAnsi="Times New Roman"/>
          <w:b/>
          <w:sz w:val="28"/>
          <w:szCs w:val="28"/>
        </w:rPr>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иные лица в соответствии с применимыми нормативными правовыми актами Российской Федерации.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rPr>
      </w:pPr>
      <w:r>
        <w:rPr>
          <w:rStyle w:val="Style16"/>
          <w:rFonts w:cs="Times New Roman" w:ascii="Times New Roman" w:hAnsi="Times New Roman"/>
          <w:b/>
          <w:sz w:val="28"/>
          <w:szCs w:val="28"/>
          <w:shd w:fill="auto" w:val="clear"/>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rPr>
      </w:pPr>
      <w:r>
        <w:rPr>
          <w:rStyle w:val="Style16"/>
          <w:rFonts w:cs="Times New Roman" w:ascii="Times New Roman" w:hAnsi="Times New Roman"/>
          <w:b/>
          <w:sz w:val="28"/>
          <w:szCs w:val="28"/>
          <w:shd w:fill="auto" w:val="clear"/>
        </w:rPr>
        <w:t xml:space="preserve">Раздел "Утилитарные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"Уникальное условное обозначение"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"Объем инвестиций (руб.)"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Для инвестиции, выраженных в иностранной валюте, указывается в рублях по курсу Банка России на дату осуществления инвестиций.</w:t>
      </w:r>
    </w:p>
    <w:p>
      <w:pPr>
        <w:pStyle w:val="Normal"/>
        <w:widowControl w:val="false"/>
        <w:ind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rPr>
      </w:pPr>
      <w:r>
        <w:rPr>
          <w:rStyle w:val="Style16"/>
          <w:rFonts w:cs="Times New Roman" w:ascii="Times New Roman" w:hAnsi="Times New Roman"/>
          <w:sz w:val="28"/>
          <w:szCs w:val="28"/>
          <w:shd w:fill="auto" w:val="clear"/>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2">
        <w:r>
          <w:rPr>
            <w:rStyle w:val="Style23"/>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rPr>
      </w:pPr>
      <w:r>
        <w:rPr>
          <w:rStyle w:val="Style16"/>
          <w:rFonts w:cs="Times New Roman" w:ascii="Times New Roman" w:hAnsi="Times New Roman"/>
          <w:b/>
          <w:sz w:val="28"/>
          <w:szCs w:val="28"/>
          <w:shd w:fill="auto" w:val="clear"/>
        </w:rPr>
        <w:t xml:space="preserve">Раздел "Цифровая валюта" формы уведомления </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 xml:space="preserve">Лицам, указанным в пунктах 1 и 2 части 1 статьи 2 Федерального закона от 7 мая 2013 г. № 79-ФЗ </w:t>
      </w:r>
      <w:r>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b/>
          <w:sz w:val="28"/>
          <w:szCs w:val="28"/>
        </w:rPr>
        <w:t xml:space="preserve">с </w:t>
      </w:r>
      <w:r>
        <w:rPr>
          <w:rFonts w:ascii="Times New Roman" w:hAnsi="Times New Roman"/>
          <w:b/>
          <w:sz w:val="28"/>
          <w:szCs w:val="28"/>
          <w:u w:val="single"/>
        </w:rPr>
        <w:t>1 января 2021 г.</w:t>
      </w:r>
      <w:r>
        <w:rPr>
          <w:rFonts w:ascii="Times New Roman" w:hAnsi="Times New Roman"/>
          <w:b/>
          <w:sz w:val="28"/>
          <w:szCs w:val="28"/>
        </w:rPr>
        <w:t xml:space="preserve"> запрещено владеть</w:t>
      </w:r>
      <w:r>
        <w:rPr>
          <w:rFonts w:ascii="Times New Roman" w:hAnsi="Times New Roman"/>
          <w:sz w:val="28"/>
          <w:szCs w:val="28"/>
        </w:rPr>
        <w:t xml:space="preserve"> и (или) </w:t>
      </w:r>
      <w:r>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Pr>
          <w:rFonts w:ascii="Times New Roman" w:hAnsi="Times New Roman"/>
          <w:b/>
          <w:sz w:val="28"/>
          <w:szCs w:val="28"/>
        </w:rPr>
        <w:t>а также цифровой валютой</w:t>
      </w:r>
      <w:r>
        <w:rPr>
          <w:rFonts w:ascii="Times New Roman" w:hAnsi="Times New Roman"/>
          <w:sz w:val="28"/>
          <w:szCs w:val="28"/>
        </w:rPr>
        <w:t>.</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pPr>
      <w:r>
        <w:rPr>
          <w:rStyle w:val="Style16"/>
          <w:rFonts w:cs="Times New Roman" w:ascii="Times New Roman" w:hAnsi="Times New Roman"/>
          <w:sz w:val="28"/>
          <w:szCs w:val="28"/>
          <w:shd w:fill="auto" w:val="clear"/>
        </w:rPr>
        <w:t xml:space="preserve">В графе "Общее количество" указывается точное количество цифровой валюты, находящейся в собственности (без округления). </w:t>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MS Minch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szCs w:val="28"/>
        <w:rFonts w:ascii="Times New Roman" w:hAnsi="Times New Roman"/>
        <w:color w:val="auto"/>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auto"/>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auto"/>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character" w:styleId="ListLabel6">
    <w:name w:val="ListLabel 6"/>
    <w:qFormat/>
    <w:rPr>
      <w:rFonts w:ascii="Times New Roman" w:hAnsi="Times New Roman"/>
      <w:sz w:val="28"/>
      <w:szCs w:val="28"/>
    </w:rPr>
  </w:style>
  <w:style w:type="character" w:styleId="ListLabel7">
    <w:name w:val="ListLabel 7"/>
    <w:qFormat/>
    <w:rPr/>
  </w:style>
  <w:style w:type="character" w:styleId="ListLabel8">
    <w:name w:val="ListLabel 8"/>
    <w:qFormat/>
    <w:rPr>
      <w:rFonts w:ascii="Times New Roman" w:hAnsi="Times New Roman"/>
      <w:sz w:val="28"/>
      <w:szCs w:val="28"/>
    </w:rPr>
  </w:style>
  <w:style w:type="character" w:styleId="ListLabel9">
    <w:name w:val="ListLabel 9"/>
    <w:qFormat/>
    <w:rPr>
      <w:rFonts w:ascii="Times New Roman" w:hAnsi="Times New Roman" w:eastAsia="Times New Roman"/>
      <w:bCs/>
      <w:sz w:val="28"/>
      <w:szCs w:val="28"/>
      <w:lang w:eastAsia="ru-RU"/>
    </w:rPr>
  </w:style>
  <w:style w:type="paragraph" w:styleId="Style24">
    <w:name w:val="Заголовок"/>
    <w:basedOn w:val="Normal"/>
    <w:next w:val="Style25"/>
    <w:qFormat/>
    <w:pPr>
      <w:keepNext w:val="true"/>
      <w:spacing w:before="240" w:after="120"/>
    </w:pPr>
    <w:rPr>
      <w:rFonts w:ascii="Liberation Sans" w:hAnsi="Liberation Sans" w:eastAsia="Tahoma" w:cs="Droid Sans Devanagari"/>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rPr>
  </w:style>
  <w:style w:type="paragraph" w:styleId="Style29">
    <w:name w:val="Header"/>
    <w:basedOn w:val="Normal"/>
    <w:link w:val="a4"/>
    <w:uiPriority w:val="99"/>
    <w:unhideWhenUsed/>
    <w:rsid w:val="00204bb5"/>
    <w:pPr>
      <w:tabs>
        <w:tab w:val="clear" w:pos="709"/>
        <w:tab w:val="center" w:pos="4677" w:leader="none"/>
        <w:tab w:val="right" w:pos="9355" w:leader="none"/>
      </w:tabs>
    </w:pPr>
    <w:rPr/>
  </w:style>
  <w:style w:type="paragraph" w:styleId="Style30">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1">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s://www.cbr.ru/hd_base/metall/metall_base_new/" TargetMode="External"/><Relationship Id="rId16" Type="http://schemas.openxmlformats.org/officeDocument/2006/relationships/hyperlink" Target="https://www.cbr.ru/currency_base/" TargetMode="External"/><Relationship Id="rId17" Type="http://schemas.openxmlformats.org/officeDocument/2006/relationships/hyperlink" Target="https://www.nalog.ru/rn77/related_activities/accounting/bank_account/" TargetMode="External"/><Relationship Id="rId18" Type="http://schemas.openxmlformats.org/officeDocument/2006/relationships/hyperlink" Target="https://www.cbr.ru/banking_sector/likvidbase/" TargetMode="External"/><Relationship Id="rId19" Type="http://schemas.openxmlformats.org/officeDocument/2006/relationships/hyperlink" Target="https://www.cbr.ru/currency_base/daily/"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www.cbr.ru/finm_infrastructure/oper/"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31A7F6-CB37-409A-A987-1A0D1201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LibreOffice/6.2.6.2$Linux_X86_64 LibreOffice_project/20$Build-2</Application>
  <Pages>30</Pages>
  <Words>17678</Words>
  <Characters>123898</Characters>
  <CharactersWithSpaces>140862</CharactersWithSpaces>
  <Paragraphs>590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2020-12-28T07:26:00Z</dcterms:created>
  <dc:creator>KovalkovaEA</dc:creator>
  <dc:description/>
  <dc:language>ru-RU</dc:language>
  <cp:lastModifiedBy>Ирина Владимировна Галова</cp:lastModifiedBy>
  <cp:lastPrinted>2020-12-30T07:15:00Z</cp:lastPrinted>
  <dcterms:modified xsi:type="dcterms:W3CDTF">2020-12-30T07:16:00Z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